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 xml:space="preserve">Aileen Orr, autorka książki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Niedźwiedź </w:t>
      </w:r>
      <w:proofErr w:type="spellStart"/>
      <w:r>
        <w:rPr>
          <w:rFonts w:ascii="AGaramondPro-Italic" w:hAnsi="AGaramondPro-Italic" w:cs="AGaramondPro-Italic"/>
          <w:i/>
          <w:iCs/>
          <w:sz w:val="26"/>
          <w:szCs w:val="26"/>
        </w:rPr>
        <w:t>Wojtek.Niezwykły</w:t>
      </w:r>
      <w:proofErr w:type="spellEnd"/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żołnierz Armii Andersa </w:t>
      </w:r>
      <w:r>
        <w:rPr>
          <w:rFonts w:ascii="AGaramondPro-Regular" w:hAnsi="AGaramondPro-Regular" w:cs="AGaramondPro-Regular"/>
          <w:sz w:val="26"/>
          <w:szCs w:val="26"/>
        </w:rPr>
        <w:t>w audycji BBC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 w:rsidRPr="00F42995">
        <w:rPr>
          <w:rFonts w:ascii="AGaramondPro-Italic" w:hAnsi="AGaramondPro-Italic" w:cs="AGaramondPro-Italic"/>
          <w:i/>
          <w:iCs/>
          <w:sz w:val="26"/>
          <w:szCs w:val="26"/>
          <w:lang w:val="en-GB"/>
        </w:rPr>
        <w:t xml:space="preserve">Scotland’s forgotten link with WW I polar bear </w:t>
      </w:r>
      <w:proofErr w:type="spellStart"/>
      <w:r w:rsidRPr="00F42995">
        <w:rPr>
          <w:rFonts w:ascii="AGaramondPro-Italic" w:hAnsi="AGaramondPro-Italic" w:cs="AGaramondPro-Italic"/>
          <w:i/>
          <w:iCs/>
          <w:sz w:val="26"/>
          <w:szCs w:val="26"/>
          <w:lang w:val="en-GB"/>
        </w:rPr>
        <w:t>Baśka</w:t>
      </w:r>
      <w:proofErr w:type="spellEnd"/>
      <w:r w:rsidRPr="00F42995">
        <w:rPr>
          <w:rFonts w:ascii="AGaramondPro-Regular" w:hAnsi="AGaramondPro-Regular" w:cs="AGaramondPro-Regular"/>
          <w:sz w:val="26"/>
          <w:szCs w:val="26"/>
          <w:lang w:val="en-GB"/>
        </w:rPr>
        <w:t>,</w:t>
      </w:r>
      <w:r>
        <w:rPr>
          <w:rFonts w:ascii="AGaramondPro-Regular" w:hAnsi="AGaramondPro-Regular" w:cs="AGaramondPro-Regular"/>
          <w:sz w:val="26"/>
          <w:szCs w:val="26"/>
          <w:lang w:val="en-GB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stwierdziła, że pomiędzy tymi dwoma niedźwiedziami (Baśką i Wojtkiem) istnieją niesamowite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podobieństwa. Oba zwierzęta zostały zabrane przez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żołnierzy w bardzo młodym wieku, przez co nie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miały one kontaktu z innymi niedźwiedziami, a to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sprawiło, że łatwiej przyswoiły sobie nie tylko naturę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ludzką, ale i typowe zachowanie dla żołnierzy. Zwróciła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też uwagę na to, że niedźwiedzie polarne mają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dzikie temperamenty i oswojenie jednego z nich jest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nie lada osiągnięciem, co wymagało obopólnego zaufania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zdobywanego najpewniej przez zabawę. Tym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samym Baśka musiała znajdować się pod dobrą opieką,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a tresura nie mogła być dla niej czymś okrutnym.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W przeciwnym razie mogłoby się to dla jej dręczyciela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źle skończyć. Wszystko musiało opierać się na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wzajemnym zaufaniu.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Imię nadane niedźwiedzicy przez jej opiekuna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przyjęło się w całym batalionie, ale jak pisze Małaczewski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w końcu zaczęto zastanawiać się, czy jest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ono adekwatne do płci zwierzęcia. Te wątpliwości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podzieliły żołnierzy na dwa stronnictwa. Ich spór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miało zakończyć dopiero badanie przeprowadzone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przez lekarza wojskowego dr. mjr. Hugona Karwowskiego,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który jednoznacznie stwierdził, że Baśka jest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niedźwiedzicą. Po tym werdykcie w jednostce miał</w:t>
      </w:r>
      <w:r>
        <w:rPr>
          <w:rFonts w:ascii="AGaramondPro-Regular" w:hAnsi="AGaramondPro-Regular" w:cs="AGaramondPro-Regular"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zapanować jeden wielki entuzjastyczny harmider.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  <w:r>
        <w:rPr>
          <w:rFonts w:ascii="AGaramondPro-Italic" w:hAnsi="AGaramondPro-Italic" w:cs="AGaramondPro-Italic"/>
          <w:i/>
          <w:iCs/>
          <w:sz w:val="26"/>
          <w:szCs w:val="26"/>
        </w:rPr>
        <w:t>Zaczęto cisnąć się kupą do Baśki. Składano jej w darze,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co kto miał do zjedzenia. A kto zdążył już podpić,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lazł całować się do niej, roniąc łzy rzewne na jej śnieżne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futro.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  <w:r>
        <w:rPr>
          <w:rFonts w:ascii="AGaramondPro-Italic" w:hAnsi="AGaramondPro-Italic" w:cs="AGaramondPro-Italic"/>
          <w:i/>
          <w:iCs/>
          <w:sz w:val="26"/>
          <w:szCs w:val="26"/>
        </w:rPr>
        <w:t>Jedna tylko Baśka zachowywała spokój, chociaż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ogólne wzruszenie i ją ścisnęło za gardziel i łaskotało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w nozdrza, zmuszając do kichania raz za razem.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  <w:r>
        <w:rPr>
          <w:rFonts w:ascii="AGaramondPro-Italic" w:hAnsi="AGaramondPro-Italic" w:cs="AGaramondPro-Italic"/>
          <w:i/>
          <w:iCs/>
          <w:sz w:val="26"/>
          <w:szCs w:val="26"/>
        </w:rPr>
        <w:t>– Baśka! dalibóg, porządna z ciebie kobita! – wołali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entuzjaści.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  <w:r>
        <w:rPr>
          <w:rFonts w:ascii="AGaramondPro-Italic" w:hAnsi="AGaramondPro-Italic" w:cs="AGaramondPro-Italic"/>
          <w:i/>
          <w:iCs/>
          <w:sz w:val="26"/>
          <w:szCs w:val="26"/>
        </w:rPr>
        <w:t>A ona patrzyła im prosto w oczy, czując, że stanowi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z nimi jedną rodzinę, że przestaje być zwykłą niedźwiedzicą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polarną, lecz już jest jednej rasy, jednego narodu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z tymi żołnierzami, którzy ją kochają i są z niej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dumni, a dla których staje się oto żywym sztandarem,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związanym z dziejami ich tułaczki po ziemiach dalekich,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z ich bohaterstwem i nieuwiędłą chwałą.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I czarne jej </w:t>
      </w:r>
      <w:proofErr w:type="spellStart"/>
      <w:r>
        <w:rPr>
          <w:rFonts w:ascii="AGaramondPro-Italic" w:hAnsi="AGaramondPro-Italic" w:cs="AGaramondPro-Italic"/>
          <w:i/>
          <w:iCs/>
          <w:sz w:val="26"/>
          <w:szCs w:val="26"/>
        </w:rPr>
        <w:t>oczki</w:t>
      </w:r>
      <w:proofErr w:type="spellEnd"/>
      <w:r>
        <w:rPr>
          <w:rFonts w:ascii="AGaramondPro-Italic" w:hAnsi="AGaramondPro-Italic" w:cs="AGaramondPro-Italic"/>
          <w:i/>
          <w:iCs/>
          <w:sz w:val="26"/>
          <w:szCs w:val="26"/>
        </w:rPr>
        <w:t>, w których świat odzwierciadlał się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>niby w wodzie żyjącej, zdawały się mówić: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  <w:r>
        <w:rPr>
          <w:rFonts w:ascii="AGaramondPro-Italic" w:hAnsi="AGaramondPro-Italic" w:cs="AGaramondPro-Italic"/>
          <w:i/>
          <w:iCs/>
          <w:sz w:val="26"/>
          <w:szCs w:val="26"/>
        </w:rPr>
        <w:t>– Setne z was chłopy! Z wami żyć i umierać!</w:t>
      </w:r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… </w:t>
      </w: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jc w:val="right"/>
        <w:rPr>
          <w:rFonts w:ascii="AGaramondPro-Italic" w:hAnsi="AGaramondPro-Italic" w:cs="AGaramondPro-Italic"/>
          <w:i/>
          <w:iCs/>
          <w:sz w:val="26"/>
          <w:szCs w:val="26"/>
        </w:rPr>
      </w:pPr>
      <w:r w:rsidRPr="00F42995">
        <w:rPr>
          <w:rFonts w:ascii="AGaramondPro-Italic" w:hAnsi="AGaramondPro-Italic" w:cs="AGaramondPro-Italic"/>
          <w:i/>
          <w:iCs/>
          <w:sz w:val="26"/>
          <w:szCs w:val="26"/>
        </w:rPr>
        <w:t xml:space="preserve">Fragment rozdziału 7. </w:t>
      </w:r>
      <w:bookmarkStart w:id="0" w:name="_GoBack"/>
      <w:r w:rsidRPr="00F42995">
        <w:rPr>
          <w:rFonts w:ascii="AGaramondPro-Italic" w:hAnsi="AGaramondPro-Italic" w:cs="AGaramondPro-Italic"/>
          <w:iCs/>
          <w:sz w:val="26"/>
          <w:szCs w:val="26"/>
        </w:rPr>
        <w:t>Ci, co walczą dalej</w:t>
      </w:r>
      <w:bookmarkEnd w:id="0"/>
    </w:p>
    <w:p w:rsidR="00F42995" w:rsidRDefault="00F42995" w:rsidP="00F42995">
      <w:pPr>
        <w:autoSpaceDE w:val="0"/>
        <w:autoSpaceDN w:val="0"/>
        <w:adjustRightInd w:val="0"/>
        <w:spacing w:after="120" w:line="240" w:lineRule="auto"/>
        <w:rPr>
          <w:rFonts w:ascii="AGaramondPro-Italic" w:hAnsi="AGaramondPro-Italic" w:cs="AGaramondPro-Italic"/>
          <w:i/>
          <w:iCs/>
          <w:sz w:val="26"/>
          <w:szCs w:val="26"/>
        </w:rPr>
      </w:pPr>
    </w:p>
    <w:sectPr w:rsidR="00F4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1"/>
    <w:rsid w:val="004D3E2C"/>
    <w:rsid w:val="005548C4"/>
    <w:rsid w:val="00767970"/>
    <w:rsid w:val="008C0AD7"/>
    <w:rsid w:val="00B75B07"/>
    <w:rsid w:val="00B979D2"/>
    <w:rsid w:val="00C44A16"/>
    <w:rsid w:val="00D150E3"/>
    <w:rsid w:val="00F42995"/>
    <w:rsid w:val="00F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2025-06-06T08:02:00Z</dcterms:created>
  <dcterms:modified xsi:type="dcterms:W3CDTF">2025-06-06T08:02:00Z</dcterms:modified>
</cp:coreProperties>
</file>