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Heros-Bold" w:hAnsi="TeXGyreHeros-Bold" w:cs="TeXGyreHeros-Bold"/>
          <w:b/>
          <w:bCs/>
          <w:sz w:val="36"/>
          <w:szCs w:val="36"/>
        </w:rPr>
      </w:pPr>
      <w:r>
        <w:rPr>
          <w:rFonts w:ascii="TeXGyreHeros-Bold" w:hAnsi="TeXGyreHeros-Bold" w:cs="TeXGyreHeros-Bold"/>
          <w:b/>
          <w:bCs/>
          <w:sz w:val="36"/>
          <w:szCs w:val="36"/>
        </w:rPr>
        <w:t>Spis treści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Wstęp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11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1. W imię czystości rasy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18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2. Śmierć dla „idiotów”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30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Heros-Bold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3. </w:t>
      </w:r>
      <w:proofErr w:type="spellStart"/>
      <w:r>
        <w:rPr>
          <w:rFonts w:ascii="TeXGyrePagella-Regular" w:hAnsi="TeXGyrePagella-Regular" w:cs="TeXGyrePagella-Regular"/>
          <w:sz w:val="24"/>
          <w:szCs w:val="24"/>
        </w:rPr>
        <w:t>Tiergartenstrasse</w:t>
      </w:r>
      <w:proofErr w:type="spellEnd"/>
      <w:r>
        <w:rPr>
          <w:rFonts w:ascii="TeXGyrePagella-Regular" w:hAnsi="TeXGyrePagella-Regular" w:cs="TeXGyrePagella-Regular"/>
          <w:sz w:val="24"/>
          <w:szCs w:val="24"/>
        </w:rPr>
        <w:t xml:space="preserve"> 4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38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4. Instytut Badań Naukowo-Wojskowych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65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5. Wydział R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87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6. Eksperymenty ze słoną wodą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141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7. Eksperymenty z malarią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150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8. Transplantacje i regeneracje kości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158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9. Eksperymenty z iperytem i fosgenem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164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10. „Cudowny lek”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169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11. Żółtaczka zakaźna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182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12. Sterylizacja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185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13. Eksperymenty z durem brzusznym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195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14. Trucizna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217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15. Maść na oparzenia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224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Heros-Bold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16. Ropowica i fenol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228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Rozdział 17. Eksperymenty medyczne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„Anioła Śmierci”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238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Heros-Bold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18. Najohydniejsza zbrodnia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250</w:t>
      </w:r>
    </w:p>
    <w:p w:rsidR="00C0226C" w:rsidRDefault="00827C4B" w:rsidP="00827C4B">
      <w:pPr>
        <w:spacing w:after="0" w:line="240" w:lineRule="auto"/>
        <w:rPr>
          <w:rFonts w:ascii="TimesNewRomanPSMT" w:eastAsia="TimesNewRomanPSMT" w:hAnsi="TeXGyreHeros-Bold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19. Eksperymenty na homoseksualistach </w:t>
      </w:r>
      <w:r>
        <w:rPr>
          <w:rFonts w:ascii="TimesNewRomanPSMT" w:eastAsia="TimesNewRomanPSMT" w:hAnsi="TeXGyreHeros-Bold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Heros-Bold" w:cs="TimesNewRomanPSMT"/>
          <w:sz w:val="24"/>
          <w:szCs w:val="24"/>
        </w:rPr>
        <w:t xml:space="preserve"> 255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Rozdział 20. Od syntetycznego tłuszczu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do zwalczania raka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267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21. Eksperymenty żywieniowe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274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Rozdział 22. Stany Zjednoczone kontra Karl Brandt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i inni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279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Rozdział 23. Operacja </w:t>
      </w:r>
      <w:proofErr w:type="spellStart"/>
      <w:r>
        <w:rPr>
          <w:rFonts w:ascii="TeXGyrePagella-Italic" w:hAnsi="TeXGyrePagella-Italic" w:cs="TeXGyrePagella-Italic"/>
          <w:i/>
          <w:iCs/>
          <w:sz w:val="24"/>
          <w:szCs w:val="24"/>
        </w:rPr>
        <w:t>Paperclip</w:t>
      </w:r>
      <w:proofErr w:type="spellEnd"/>
      <w:r>
        <w:rPr>
          <w:rFonts w:ascii="TeXGyrePagella-Italic" w:hAnsi="TeXGyrePagella-Italic" w:cs="TeXGyrePagella-Italic"/>
          <w:i/>
          <w:iCs/>
          <w:sz w:val="24"/>
          <w:szCs w:val="24"/>
        </w:rPr>
        <w:t xml:space="preserve">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287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 xml:space="preserve">Zakończenie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292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eXGyrePagella-Regular" w:hAnsi="TeXGyrePagella-Regular" w:cs="TeXGyrePagella-Regular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Aneks 1. Zestawienie zbrodniczych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>pseudoeksperymentów medycznych</w:t>
      </w:r>
      <w:bookmarkStart w:id="0" w:name="_GoBack"/>
      <w:bookmarkEnd w:id="0"/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prowadzonych w hitlerowskich obozach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koncentracyjnych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295</w:t>
      </w:r>
    </w:p>
    <w:p w:rsidR="00827C4B" w:rsidRDefault="00827C4B" w:rsidP="00827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eXGyrePagella-Regular" w:cs="TimesNewRomanPSMT"/>
          <w:sz w:val="24"/>
          <w:szCs w:val="24"/>
        </w:rPr>
      </w:pPr>
      <w:r>
        <w:rPr>
          <w:rFonts w:ascii="TeXGyrePagella-Regular" w:hAnsi="TeXGyrePagella-Regular" w:cs="TeXGyrePagella-Regular"/>
          <w:sz w:val="24"/>
          <w:szCs w:val="24"/>
        </w:rPr>
        <w:t>Aneks 2. Oskarżeni w norymberskim procesie</w:t>
      </w:r>
      <w:r>
        <w:rPr>
          <w:rFonts w:ascii="TeXGyrePagella-Regular" w:hAnsi="TeXGyrePagella-Regular" w:cs="TeXGyrePagella-Regular"/>
          <w:sz w:val="24"/>
          <w:szCs w:val="24"/>
        </w:rPr>
        <w:t xml:space="preserve"> </w:t>
      </w:r>
      <w:r>
        <w:rPr>
          <w:rFonts w:ascii="TeXGyrePagella-Regular" w:hAnsi="TeXGyrePagella-Regular" w:cs="TeXGyrePagella-Regular"/>
          <w:sz w:val="24"/>
          <w:szCs w:val="24"/>
        </w:rPr>
        <w:t xml:space="preserve">lekarzy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307</w:t>
      </w:r>
    </w:p>
    <w:p w:rsidR="00827C4B" w:rsidRDefault="00827C4B" w:rsidP="00827C4B">
      <w:pPr>
        <w:spacing w:after="0" w:line="240" w:lineRule="auto"/>
      </w:pPr>
      <w:r>
        <w:rPr>
          <w:rFonts w:ascii="TeXGyrePagella-Regular" w:hAnsi="TeXGyrePagella-Regular" w:cs="TeXGyrePagella-Regular"/>
          <w:sz w:val="24"/>
          <w:szCs w:val="24"/>
        </w:rPr>
        <w:t xml:space="preserve">Bibliografia </w:t>
      </w:r>
      <w:r>
        <w:rPr>
          <w:rFonts w:ascii="TimesNewRomanPSMT" w:eastAsia="TimesNewRomanPSMT" w:hAnsi="TeXGyrePagella-Regular" w:cs="TimesNewRomanPSMT" w:hint="eastAsia"/>
          <w:sz w:val="24"/>
          <w:szCs w:val="24"/>
        </w:rPr>
        <w:t>▪</w:t>
      </w:r>
      <w:r>
        <w:rPr>
          <w:rFonts w:ascii="TimesNewRomanPSMT" w:eastAsia="TimesNewRomanPSMT" w:hAnsi="TeXGyrePagella-Regular" w:cs="TimesNewRomanPSMT"/>
          <w:sz w:val="24"/>
          <w:szCs w:val="24"/>
        </w:rPr>
        <w:t xml:space="preserve"> 313</w:t>
      </w:r>
    </w:p>
    <w:sectPr w:rsidR="0082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Heros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eXGyrePagella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eXGyrePagella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4B"/>
    <w:rsid w:val="004D3E2C"/>
    <w:rsid w:val="00767970"/>
    <w:rsid w:val="00827C4B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24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1</cp:revision>
  <dcterms:created xsi:type="dcterms:W3CDTF">2025-06-30T12:17:00Z</dcterms:created>
  <dcterms:modified xsi:type="dcterms:W3CDTF">2025-06-30T12:20:00Z</dcterms:modified>
</cp:coreProperties>
</file>